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7D1" w:rsidRPr="00F347D1" w:rsidRDefault="00F347D1" w:rsidP="00F347D1">
      <w:pPr>
        <w:jc w:val="center"/>
        <w:rPr>
          <w:b/>
          <w:bCs/>
          <w:color w:val="221E1F"/>
          <w:sz w:val="27"/>
          <w:szCs w:val="27"/>
        </w:rPr>
      </w:pPr>
      <w:r w:rsidRPr="00F347D1">
        <w:rPr>
          <w:b/>
          <w:bCs/>
          <w:color w:val="221E1F"/>
          <w:sz w:val="27"/>
          <w:szCs w:val="27"/>
        </w:rPr>
        <w:t>Enhanced</w:t>
      </w:r>
      <w:r w:rsidRPr="00F347D1">
        <w:rPr>
          <w:b/>
          <w:bCs/>
          <w:color w:val="221E1F"/>
          <w:sz w:val="27"/>
          <w:szCs w:val="27"/>
        </w:rPr>
        <w:t xml:space="preserve"> intestinal permeability of </w:t>
      </w:r>
      <w:proofErr w:type="spellStart"/>
      <w:r w:rsidRPr="00F347D1">
        <w:rPr>
          <w:b/>
          <w:bCs/>
          <w:color w:val="221E1F"/>
          <w:sz w:val="27"/>
          <w:szCs w:val="27"/>
        </w:rPr>
        <w:t>vancomycin</w:t>
      </w:r>
      <w:proofErr w:type="spellEnd"/>
      <w:r w:rsidRPr="00F347D1">
        <w:rPr>
          <w:b/>
          <w:bCs/>
          <w:color w:val="221E1F"/>
          <w:sz w:val="27"/>
          <w:szCs w:val="27"/>
        </w:rPr>
        <w:t xml:space="preserve"> using its</w:t>
      </w:r>
      <w:r w:rsidRPr="00F347D1">
        <w:rPr>
          <w:b/>
          <w:bCs/>
          <w:color w:val="221E1F"/>
          <w:sz w:val="27"/>
          <w:szCs w:val="27"/>
        </w:rPr>
        <w:t xml:space="preserve"> PLGA-nanoparticles</w:t>
      </w:r>
    </w:p>
    <w:p w:rsidR="005A2116" w:rsidRPr="00F347D1" w:rsidRDefault="00F347D1" w:rsidP="00F347D1">
      <w:pPr>
        <w:jc w:val="center"/>
        <w:rPr>
          <w:color w:val="221E1F"/>
          <w:sz w:val="27"/>
          <w:szCs w:val="27"/>
        </w:rPr>
      </w:pPr>
      <w:r w:rsidRPr="00F347D1">
        <w:rPr>
          <w:color w:val="221E1F"/>
          <w:sz w:val="27"/>
          <w:szCs w:val="27"/>
        </w:rPr>
        <w:t>Parvin Zakeri-</w:t>
      </w:r>
      <w:proofErr w:type="spellStart"/>
      <w:r w:rsidRPr="00F347D1">
        <w:rPr>
          <w:color w:val="221E1F"/>
          <w:sz w:val="27"/>
          <w:szCs w:val="27"/>
        </w:rPr>
        <w:t>Milani</w:t>
      </w:r>
      <w:proofErr w:type="spellEnd"/>
      <w:r w:rsidRPr="00F347D1">
        <w:rPr>
          <w:color w:val="221E1F"/>
          <w:sz w:val="27"/>
          <w:szCs w:val="27"/>
        </w:rPr>
        <w:t xml:space="preserve">, Badir Delf </w:t>
      </w:r>
      <w:proofErr w:type="spellStart"/>
      <w:r w:rsidRPr="00F347D1">
        <w:rPr>
          <w:color w:val="221E1F"/>
          <w:sz w:val="27"/>
          <w:szCs w:val="27"/>
        </w:rPr>
        <w:t>Loveymi</w:t>
      </w:r>
      <w:proofErr w:type="spellEnd"/>
      <w:r w:rsidRPr="00F347D1">
        <w:rPr>
          <w:color w:val="221E1F"/>
          <w:sz w:val="27"/>
          <w:szCs w:val="27"/>
        </w:rPr>
        <w:t>, Mitra Jelvehgari, Hadi Valizadeh</w:t>
      </w:r>
    </w:p>
    <w:p w:rsidR="00F347D1" w:rsidRDefault="00F347D1">
      <w:pPr>
        <w:rPr>
          <w:color w:val="221E1F"/>
          <w:sz w:val="27"/>
          <w:szCs w:val="27"/>
        </w:rPr>
      </w:pPr>
    </w:p>
    <w:p w:rsidR="00F347D1" w:rsidRPr="00F347D1" w:rsidRDefault="00F347D1" w:rsidP="005C0E52">
      <w:pPr>
        <w:rPr>
          <w:color w:val="221E1F"/>
          <w:sz w:val="27"/>
          <w:szCs w:val="27"/>
        </w:rPr>
      </w:pPr>
      <w:r w:rsidRPr="00F347D1">
        <w:rPr>
          <w:color w:val="221E1F"/>
          <w:sz w:val="27"/>
          <w:szCs w:val="27"/>
        </w:rPr>
        <w:t xml:space="preserve">Aim: In the present investigation, </w:t>
      </w:r>
      <w:proofErr w:type="spellStart"/>
      <w:r w:rsidRPr="00F347D1">
        <w:rPr>
          <w:color w:val="221E1F"/>
          <w:sz w:val="27"/>
          <w:szCs w:val="27"/>
        </w:rPr>
        <w:t>vancomycin</w:t>
      </w:r>
      <w:proofErr w:type="spellEnd"/>
      <w:r w:rsidRPr="00F347D1">
        <w:rPr>
          <w:color w:val="221E1F"/>
          <w:sz w:val="27"/>
          <w:szCs w:val="27"/>
        </w:rPr>
        <w:t xml:space="preserve"> (VCM) biodegradable nanoparticles were developed for oral administration, </w:t>
      </w:r>
      <w:r w:rsidR="005C0E52">
        <w:rPr>
          <w:color w:val="221E1F"/>
          <w:sz w:val="27"/>
          <w:szCs w:val="27"/>
        </w:rPr>
        <w:t xml:space="preserve">to improve </w:t>
      </w:r>
      <w:bookmarkStart w:id="0" w:name="_GoBack"/>
      <w:bookmarkEnd w:id="0"/>
      <w:r w:rsidRPr="00F347D1">
        <w:rPr>
          <w:color w:val="221E1F"/>
          <w:sz w:val="27"/>
          <w:szCs w:val="27"/>
        </w:rPr>
        <w:t xml:space="preserve">its intestinal permeability. Methods: The </w:t>
      </w:r>
      <w:proofErr w:type="spellStart"/>
      <w:r w:rsidRPr="00F347D1">
        <w:rPr>
          <w:color w:val="221E1F"/>
          <w:sz w:val="27"/>
          <w:szCs w:val="27"/>
        </w:rPr>
        <w:t>vancomycin</w:t>
      </w:r>
      <w:proofErr w:type="spellEnd"/>
      <w:r w:rsidRPr="00F347D1">
        <w:rPr>
          <w:color w:val="221E1F"/>
          <w:sz w:val="27"/>
          <w:szCs w:val="27"/>
        </w:rPr>
        <w:t xml:space="preserve">-loaded nanoparticles were prepared using double-emulsion solvent </w:t>
      </w:r>
      <w:proofErr w:type="spellStart"/>
      <w:r w:rsidRPr="00F347D1">
        <w:rPr>
          <w:color w:val="221E1F"/>
          <w:sz w:val="27"/>
          <w:szCs w:val="27"/>
        </w:rPr>
        <w:t>evapora-tion</w:t>
      </w:r>
      <w:proofErr w:type="spellEnd"/>
      <w:r w:rsidRPr="00F347D1">
        <w:rPr>
          <w:color w:val="221E1F"/>
          <w:sz w:val="27"/>
          <w:szCs w:val="27"/>
        </w:rPr>
        <w:t xml:space="preserve"> method. The prepared nanoparticles were characterized for their </w:t>
      </w:r>
      <w:proofErr w:type="spellStart"/>
      <w:r w:rsidRPr="00F347D1">
        <w:rPr>
          <w:color w:val="221E1F"/>
          <w:sz w:val="27"/>
          <w:szCs w:val="27"/>
        </w:rPr>
        <w:t>micromeritic</w:t>
      </w:r>
      <w:proofErr w:type="spellEnd"/>
      <w:r w:rsidRPr="00F347D1">
        <w:rPr>
          <w:color w:val="221E1F"/>
          <w:sz w:val="27"/>
          <w:szCs w:val="27"/>
        </w:rPr>
        <w:t xml:space="preserve"> and crystallographic properties, particle size, zeta potential, drug loading and release. Intestinal permeability of VCM </w:t>
      </w:r>
      <w:proofErr w:type="spellStart"/>
      <w:r w:rsidRPr="00F347D1">
        <w:rPr>
          <w:color w:val="221E1F"/>
          <w:sz w:val="27"/>
          <w:szCs w:val="27"/>
        </w:rPr>
        <w:t>nanopar-ticles</w:t>
      </w:r>
      <w:proofErr w:type="spellEnd"/>
      <w:r w:rsidRPr="00F347D1">
        <w:rPr>
          <w:color w:val="221E1F"/>
          <w:sz w:val="27"/>
          <w:szCs w:val="27"/>
        </w:rPr>
        <w:t xml:space="preserve"> was determined in different concentrations using SPIP technique in rats. Results: Particle sizes were between 450 nm and 466 nm for different compositions of VCM-PLGA nanoparticles. Entrapment efficiency ranged between 38.38</w:t>
      </w:r>
      <w:r>
        <w:rPr>
          <w:color w:val="221E1F"/>
          <w:sz w:val="27"/>
          <w:szCs w:val="27"/>
        </w:rPr>
        <w:t>% and 78.6% with negative zeta</w:t>
      </w:r>
      <w:r w:rsidRPr="00F347D1">
        <w:rPr>
          <w:color w:val="221E1F"/>
          <w:sz w:val="27"/>
          <w:szCs w:val="27"/>
        </w:rPr>
        <w:t xml:space="preserve"> potential. The FT-IR, XRPD and DSC results ruled out any chemical interaction between the drug and PLGA. Effective intestinal permeability values of VCM nanoparticles in con</w:t>
      </w:r>
      <w:r>
        <w:rPr>
          <w:color w:val="221E1F"/>
          <w:sz w:val="27"/>
          <w:szCs w:val="27"/>
        </w:rPr>
        <w:t xml:space="preserve">centrations of 200, 300 and 400 </w:t>
      </w:r>
      <w:r w:rsidRPr="00F347D1">
        <w:rPr>
          <w:color w:val="221E1F"/>
          <w:sz w:val="27"/>
          <w:szCs w:val="27"/>
        </w:rPr>
        <w:t>g/ml were significantly higher than that of solutions at the same concentrations. Conclusion: Our findings suggest that PLGA nanoparticles could provide a delivery system for VCM, with enhanced intestinal permeability.</w:t>
      </w:r>
    </w:p>
    <w:sectPr w:rsidR="00F347D1" w:rsidRPr="00F34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D1"/>
    <w:rsid w:val="005A2116"/>
    <w:rsid w:val="005C0E52"/>
    <w:rsid w:val="00F3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B4829E-8D6F-4A46-9606-B0876646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DR_ZAKERI</dc:creator>
  <cp:keywords/>
  <dc:description/>
  <cp:lastModifiedBy>DR_ZAKERI</cp:lastModifiedBy>
  <cp:revision>2</cp:revision>
  <dcterms:created xsi:type="dcterms:W3CDTF">2015-06-17T08:56:00Z</dcterms:created>
  <dcterms:modified xsi:type="dcterms:W3CDTF">2015-06-17T09:00:00Z</dcterms:modified>
</cp:coreProperties>
</file>